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2745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289C5564" w14:textId="77777777" w:rsidR="002B315A" w:rsidRDefault="002B315A">
      <w:pPr>
        <w:pStyle w:val="Nosaukums"/>
        <w:rPr>
          <w:sz w:val="28"/>
        </w:rPr>
      </w:pPr>
    </w:p>
    <w:p w14:paraId="10849BB6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5B8E952A" w14:textId="77777777">
        <w:trPr>
          <w:cantSplit/>
        </w:trPr>
        <w:tc>
          <w:tcPr>
            <w:tcW w:w="1548" w:type="dxa"/>
            <w:vMerge w:val="restart"/>
          </w:tcPr>
          <w:p w14:paraId="4A563DB1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983B5" w14:textId="6DC12853" w:rsidR="002B315A" w:rsidRPr="00361F09" w:rsidRDefault="00A924D1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 ”</w:t>
            </w:r>
          </w:p>
        </w:tc>
      </w:tr>
      <w:tr w:rsidR="002B315A" w14:paraId="1763EAF1" w14:textId="77777777">
        <w:trPr>
          <w:cantSplit/>
        </w:trPr>
        <w:tc>
          <w:tcPr>
            <w:tcW w:w="1548" w:type="dxa"/>
            <w:vMerge/>
            <w:vAlign w:val="center"/>
          </w:tcPr>
          <w:p w14:paraId="07FD410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B3878D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6F38D44C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6AEAA973" w14:textId="77777777" w:rsidTr="00361F09">
        <w:trPr>
          <w:cantSplit/>
          <w:trHeight w:val="290"/>
        </w:trPr>
        <w:tc>
          <w:tcPr>
            <w:tcW w:w="1008" w:type="dxa"/>
          </w:tcPr>
          <w:p w14:paraId="72356303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05247097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62000621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35F7FF73" w14:textId="476503F3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60FA1FE" w14:textId="0454E1BF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</w:p>
        </w:tc>
        <w:tc>
          <w:tcPr>
            <w:tcW w:w="900" w:type="dxa"/>
          </w:tcPr>
          <w:p w14:paraId="20C63E21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04A3BF2" w14:textId="0F9D4C00" w:rsidR="002B315A" w:rsidRDefault="00E26997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pasts</w:t>
            </w:r>
            <w:r w:rsidR="002B315A">
              <w:rPr>
                <w:b/>
                <w:sz w:val="22"/>
              </w:rPr>
              <w:t>@p</w:t>
            </w:r>
            <w:r w:rsidR="00342327">
              <w:rPr>
                <w:b/>
                <w:sz w:val="22"/>
              </w:rPr>
              <w:t>ossessor</w:t>
            </w:r>
            <w:r w:rsidR="002B315A">
              <w:rPr>
                <w:b/>
                <w:sz w:val="22"/>
              </w:rPr>
              <w:t>.gov.lv</w:t>
            </w:r>
          </w:p>
        </w:tc>
      </w:tr>
    </w:tbl>
    <w:p w14:paraId="47738867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3644B95A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259817CA" w14:textId="77777777" w:rsidTr="002D2603">
        <w:trPr>
          <w:cantSplit/>
        </w:trPr>
        <w:tc>
          <w:tcPr>
            <w:tcW w:w="4503" w:type="dxa"/>
            <w:vMerge w:val="restart"/>
          </w:tcPr>
          <w:p w14:paraId="058774AF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41FE3" w14:textId="5CAAAE59" w:rsidR="002B315A" w:rsidRPr="00A924D1" w:rsidRDefault="004E7229" w:rsidP="00800D80">
            <w:pPr>
              <w:pStyle w:val="Apakvirsraksts"/>
              <w:rPr>
                <w:b/>
                <w:bCs/>
                <w:sz w:val="22"/>
              </w:rPr>
            </w:pPr>
            <w:r w:rsidRPr="00A37E7B">
              <w:t>Tehniskās dokumentācijas izstrāde un autoruzraudzība SIA "Publisko aktīvu pārvaldītājs Possessor" ēkas pārbūvei Krišjāņa Valdemāra ielā 31, Rīgā</w:t>
            </w:r>
          </w:p>
        </w:tc>
      </w:tr>
      <w:tr w:rsidR="002B315A" w14:paraId="6499085F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56D56F6E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0C100" w14:textId="77777777" w:rsidR="002B315A" w:rsidRDefault="002B315A" w:rsidP="004E7229">
            <w:pPr>
              <w:pStyle w:val="Apakvirsraksts"/>
              <w:ind w:right="-146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5DE30983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9F0E118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58F8553F" w14:textId="73E1B0E2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5C2C58">
        <w:rPr>
          <w:szCs w:val="24"/>
          <w:u w:val="single"/>
        </w:rPr>
        <w:t>POSSESSOR/202</w:t>
      </w:r>
      <w:r w:rsidR="004E7229">
        <w:rPr>
          <w:szCs w:val="24"/>
          <w:u w:val="single"/>
        </w:rPr>
        <w:t>3/54</w:t>
      </w:r>
    </w:p>
    <w:p w14:paraId="49EB3192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5ED98627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59FC7762" w14:textId="3579A1E9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4E7229">
        <w:rPr>
          <w:szCs w:val="24"/>
          <w:u w:val="single"/>
        </w:rPr>
        <w:t>28.11.2023.</w:t>
      </w:r>
    </w:p>
    <w:p w14:paraId="457CD60C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612C7654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01C46AE8" w14:textId="77777777" w:rsidR="002B315A" w:rsidRDefault="002B315A">
      <w:pPr>
        <w:pStyle w:val="Apakvirsraksts"/>
        <w:jc w:val="both"/>
        <w:rPr>
          <w:sz w:val="16"/>
        </w:rPr>
      </w:pPr>
    </w:p>
    <w:p w14:paraId="6745F975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027FD9AC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p w14:paraId="4A436F01" w14:textId="7466565A" w:rsidR="00297C72" w:rsidRPr="00987C54" w:rsidRDefault="00297C72" w:rsidP="00297C72">
      <w:pPr>
        <w:ind w:firstLine="567"/>
        <w:jc w:val="both"/>
        <w:rPr>
          <w:szCs w:val="24"/>
        </w:rPr>
      </w:pPr>
      <w:bookmarkStart w:id="0" w:name="_Hlk89770162"/>
      <w:r w:rsidRPr="00987C54">
        <w:rPr>
          <w:szCs w:val="24"/>
        </w:rPr>
        <w:t>Iepirkuma komisija 2023.gada 28.novembrī nolēma atzīt Atklāta konkursa pretendent</w:t>
      </w:r>
      <w:r w:rsidR="002F3085">
        <w:rPr>
          <w:szCs w:val="24"/>
        </w:rPr>
        <w:t>u</w:t>
      </w:r>
      <w:r w:rsidRPr="00987C54">
        <w:rPr>
          <w:szCs w:val="24"/>
        </w:rPr>
        <w:t xml:space="preserve"> piedāvājumus par neatbilstošiem Atklāta konkursa nolikuma 12.7.punktam, kas </w:t>
      </w:r>
      <w:r>
        <w:rPr>
          <w:szCs w:val="24"/>
        </w:rPr>
        <w:t>paredz</w:t>
      </w:r>
      <w:r w:rsidRPr="00987C54">
        <w:rPr>
          <w:szCs w:val="24"/>
        </w:rPr>
        <w:t xml:space="preserve">, ka </w:t>
      </w:r>
      <w:r w:rsidRPr="00987C54">
        <w:t xml:space="preserve">Pretendents Atklāta konkursa līguma izpildei piesaista speciālistus, kur </w:t>
      </w:r>
      <w:r w:rsidRPr="00987C54">
        <w:rPr>
          <w:szCs w:val="24"/>
        </w:rPr>
        <w:t>katrs speciālists var pildīt ne vairāk kā divas no 12.7.punktā minētajām projekta lomām, izņemot 12.7.1. un 12.7.2.apakšpunktā noteiktos speciālistus, kuri var pildīt tikai katrs savu projekta lomu</w:t>
      </w:r>
      <w:r>
        <w:rPr>
          <w:szCs w:val="24"/>
        </w:rPr>
        <w:t xml:space="preserve">, jo pretendenti savos piedāvājumos ir norādījuši vienu un to pašu speciālistu, kurš pildītu gan </w:t>
      </w:r>
      <w:r w:rsidRPr="00987C54">
        <w:rPr>
          <w:szCs w:val="24"/>
        </w:rPr>
        <w:t>12.7.1.</w:t>
      </w:r>
      <w:r>
        <w:rPr>
          <w:szCs w:val="24"/>
        </w:rPr>
        <w:t>apakšpunktā, gan</w:t>
      </w:r>
      <w:r w:rsidRPr="00987C54">
        <w:rPr>
          <w:szCs w:val="24"/>
        </w:rPr>
        <w:t xml:space="preserve"> 12.7.2.apakšpunktā noteikto </w:t>
      </w:r>
      <w:r>
        <w:rPr>
          <w:szCs w:val="24"/>
        </w:rPr>
        <w:t xml:space="preserve">projekta lomu. </w:t>
      </w:r>
    </w:p>
    <w:p w14:paraId="180644F8" w14:textId="77777777" w:rsidR="00297C72" w:rsidRPr="00987C54" w:rsidRDefault="00297C72" w:rsidP="00297C72">
      <w:pPr>
        <w:ind w:firstLine="720"/>
        <w:jc w:val="both"/>
        <w:rPr>
          <w:szCs w:val="24"/>
        </w:rPr>
      </w:pPr>
      <w:r w:rsidRPr="00987C54">
        <w:rPr>
          <w:szCs w:val="24"/>
        </w:rPr>
        <w:t xml:space="preserve">Ievērojot iepriekš </w:t>
      </w:r>
      <w:r>
        <w:rPr>
          <w:szCs w:val="24"/>
        </w:rPr>
        <w:t>minēto</w:t>
      </w:r>
      <w:r w:rsidRPr="00987C54">
        <w:rPr>
          <w:szCs w:val="24"/>
        </w:rPr>
        <w:t xml:space="preserve">, </w:t>
      </w:r>
      <w:r w:rsidRPr="00987C54">
        <w:rPr>
          <w:bCs/>
        </w:rPr>
        <w:t xml:space="preserve">Possessor </w:t>
      </w:r>
      <w:r w:rsidRPr="00987C54">
        <w:rPr>
          <w:szCs w:val="24"/>
        </w:rPr>
        <w:t>Iepirkuma komisija 2023.gada 28.novembrī saskaņā ar Ministru kabineta 2017.gada 28.februāra noteikumu Nr.107 “Iepirkuma procedūru un metu konkursu norises kārtība” 229.2.</w:t>
      </w:r>
      <w:r>
        <w:rPr>
          <w:szCs w:val="24"/>
        </w:rPr>
        <w:t>apakš</w:t>
      </w:r>
      <w:r w:rsidRPr="00987C54">
        <w:rPr>
          <w:szCs w:val="24"/>
        </w:rPr>
        <w:t xml:space="preserve">punktu nolēma Atklāta konkursa procedūru izbeigt bez rezultāta. </w:t>
      </w:r>
    </w:p>
    <w:p w14:paraId="5466D9F4" w14:textId="65A6C794" w:rsidR="009D107F" w:rsidRPr="009D107F" w:rsidRDefault="009D107F" w:rsidP="00084D49">
      <w:pPr>
        <w:ind w:firstLine="720"/>
        <w:jc w:val="both"/>
        <w:rPr>
          <w:szCs w:val="24"/>
          <w:shd w:val="clear" w:color="auto" w:fill="FFFFFF"/>
        </w:rPr>
      </w:pPr>
    </w:p>
    <w:p w14:paraId="6ED1E3E0" w14:textId="6B3B1378" w:rsidR="007F7FE2" w:rsidRDefault="009D107F" w:rsidP="00084D49">
      <w:pPr>
        <w:ind w:firstLine="720"/>
        <w:jc w:val="both"/>
        <w:rPr>
          <w:szCs w:val="24"/>
        </w:rPr>
      </w:pPr>
      <w:r>
        <w:rPr>
          <w:rFonts w:ascii="Arial" w:hAnsi="Arial" w:cs="Arial"/>
          <w:color w:val="414142"/>
          <w:sz w:val="20"/>
          <w:shd w:val="clear" w:color="auto" w:fill="FFFFFF"/>
        </w:rPr>
        <w:t xml:space="preserve"> </w:t>
      </w:r>
    </w:p>
    <w:bookmarkEnd w:id="0"/>
    <w:p w14:paraId="051FFA0C" w14:textId="1E05E05E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90144E">
        <w:rPr>
          <w:szCs w:val="24"/>
          <w:u w:val="single"/>
        </w:rPr>
        <w:t>30.11.2023.</w:t>
      </w:r>
    </w:p>
    <w:p w14:paraId="36C8409A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3B632E29" w14:textId="77777777" w:rsidR="002B315A" w:rsidRDefault="002B315A">
      <w:pPr>
        <w:pStyle w:val="Apakvirsraksts"/>
        <w:jc w:val="both"/>
        <w:rPr>
          <w:sz w:val="16"/>
        </w:rPr>
      </w:pPr>
    </w:p>
    <w:p w14:paraId="66EEA90B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4D49"/>
    <w:rsid w:val="00087374"/>
    <w:rsid w:val="000C5E67"/>
    <w:rsid w:val="000D6813"/>
    <w:rsid w:val="000E083C"/>
    <w:rsid w:val="000E4841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211A23"/>
    <w:rsid w:val="0021232A"/>
    <w:rsid w:val="00217963"/>
    <w:rsid w:val="00235AD7"/>
    <w:rsid w:val="00252DAA"/>
    <w:rsid w:val="00265A3A"/>
    <w:rsid w:val="002665C9"/>
    <w:rsid w:val="00297C72"/>
    <w:rsid w:val="002B315A"/>
    <w:rsid w:val="002D2603"/>
    <w:rsid w:val="002E2090"/>
    <w:rsid w:val="002F0392"/>
    <w:rsid w:val="002F3085"/>
    <w:rsid w:val="00335DD2"/>
    <w:rsid w:val="00342327"/>
    <w:rsid w:val="003434A3"/>
    <w:rsid w:val="003557D9"/>
    <w:rsid w:val="00361F09"/>
    <w:rsid w:val="00384E19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E7229"/>
    <w:rsid w:val="004F1267"/>
    <w:rsid w:val="00543011"/>
    <w:rsid w:val="00544AD1"/>
    <w:rsid w:val="0055232D"/>
    <w:rsid w:val="00575B6D"/>
    <w:rsid w:val="005964E4"/>
    <w:rsid w:val="005A1D1E"/>
    <w:rsid w:val="005B1DEA"/>
    <w:rsid w:val="005B3DEA"/>
    <w:rsid w:val="005C2C58"/>
    <w:rsid w:val="005C6E14"/>
    <w:rsid w:val="006007D2"/>
    <w:rsid w:val="00623BC9"/>
    <w:rsid w:val="00644E10"/>
    <w:rsid w:val="00657917"/>
    <w:rsid w:val="00681375"/>
    <w:rsid w:val="0069351D"/>
    <w:rsid w:val="006C03DA"/>
    <w:rsid w:val="006D0D82"/>
    <w:rsid w:val="006D1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7F7FE2"/>
    <w:rsid w:val="00800D80"/>
    <w:rsid w:val="00850EAA"/>
    <w:rsid w:val="00862976"/>
    <w:rsid w:val="0086496B"/>
    <w:rsid w:val="00865E69"/>
    <w:rsid w:val="00866071"/>
    <w:rsid w:val="00886940"/>
    <w:rsid w:val="008A7C79"/>
    <w:rsid w:val="008C195D"/>
    <w:rsid w:val="008C77F8"/>
    <w:rsid w:val="008E3281"/>
    <w:rsid w:val="0090144E"/>
    <w:rsid w:val="00913FC1"/>
    <w:rsid w:val="009342A1"/>
    <w:rsid w:val="009479C2"/>
    <w:rsid w:val="009607B6"/>
    <w:rsid w:val="0098713F"/>
    <w:rsid w:val="009B48CF"/>
    <w:rsid w:val="009C435C"/>
    <w:rsid w:val="009C66B0"/>
    <w:rsid w:val="009D107F"/>
    <w:rsid w:val="009D3206"/>
    <w:rsid w:val="00A03612"/>
    <w:rsid w:val="00A03BDA"/>
    <w:rsid w:val="00A420BF"/>
    <w:rsid w:val="00A77037"/>
    <w:rsid w:val="00A828D4"/>
    <w:rsid w:val="00A924D1"/>
    <w:rsid w:val="00A93C8B"/>
    <w:rsid w:val="00A96E32"/>
    <w:rsid w:val="00AA5448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A0E56"/>
    <w:rsid w:val="00BA5894"/>
    <w:rsid w:val="00BB2F81"/>
    <w:rsid w:val="00BB6DC6"/>
    <w:rsid w:val="00BE6366"/>
    <w:rsid w:val="00BF49B2"/>
    <w:rsid w:val="00BF4B51"/>
    <w:rsid w:val="00C5445C"/>
    <w:rsid w:val="00C76ACD"/>
    <w:rsid w:val="00C80F0A"/>
    <w:rsid w:val="00CB0E17"/>
    <w:rsid w:val="00CB50D8"/>
    <w:rsid w:val="00CD388C"/>
    <w:rsid w:val="00CD7541"/>
    <w:rsid w:val="00CE23E2"/>
    <w:rsid w:val="00CF796A"/>
    <w:rsid w:val="00D07574"/>
    <w:rsid w:val="00D15BF1"/>
    <w:rsid w:val="00D202B0"/>
    <w:rsid w:val="00D45DAA"/>
    <w:rsid w:val="00D54348"/>
    <w:rsid w:val="00D624B6"/>
    <w:rsid w:val="00D96F57"/>
    <w:rsid w:val="00DB162E"/>
    <w:rsid w:val="00DC4B5D"/>
    <w:rsid w:val="00DE488D"/>
    <w:rsid w:val="00E176EF"/>
    <w:rsid w:val="00E26997"/>
    <w:rsid w:val="00E45615"/>
    <w:rsid w:val="00E45879"/>
    <w:rsid w:val="00E508A7"/>
    <w:rsid w:val="00E60DA5"/>
    <w:rsid w:val="00E67B25"/>
    <w:rsid w:val="00E84CEC"/>
    <w:rsid w:val="00E959FE"/>
    <w:rsid w:val="00E9760A"/>
    <w:rsid w:val="00EA79D7"/>
    <w:rsid w:val="00ED1BD2"/>
    <w:rsid w:val="00EF3D1F"/>
    <w:rsid w:val="00F15CFB"/>
    <w:rsid w:val="00F31879"/>
    <w:rsid w:val="00F53356"/>
    <w:rsid w:val="00F562BD"/>
    <w:rsid w:val="00F57006"/>
    <w:rsid w:val="00F92884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AB98A"/>
  <w15:docId w15:val="{B32EEE23-6BFD-4E96-959D-52F8F7B9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5335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3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7</cp:revision>
  <cp:lastPrinted>2013-10-29T13:49:00Z</cp:lastPrinted>
  <dcterms:created xsi:type="dcterms:W3CDTF">2023-11-30T05:56:00Z</dcterms:created>
  <dcterms:modified xsi:type="dcterms:W3CDTF">2023-11-30T06:00:00Z</dcterms:modified>
</cp:coreProperties>
</file>